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3"/>
        <w:bidi w:val="0"/>
        <w:spacing w:before="140" w:after="120"/>
        <w:jc w:val="start"/>
        <w:rPr>
          <w:rFonts w:ascii="Calibri" w:hAnsi="Calibri"/>
        </w:rPr>
      </w:pPr>
      <w:r>
        <w:rPr>
          <w:rStyle w:val="Strong"/>
          <w:rFonts w:ascii="Calibri" w:hAnsi="Calibri"/>
          <w:b/>
          <w:bCs/>
        </w:rPr>
        <w:t>Reflections on Reality, Guides, and Emotions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1. The Two Reasons for Thinking About Reality</w:t>
      </w:r>
    </w:p>
    <w:p>
      <w:pPr>
        <w:pStyle w:val="BodyText"/>
        <w:bidi w:val="0"/>
        <w:jc w:val="start"/>
        <w:rPr/>
      </w:pPr>
      <w:r>
        <w:rPr/>
        <w:t>I realized there are only two reasons why I ever think about describing reality—why I create or follow these "guides" for myself: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Practical Necessity</w:t>
      </w:r>
      <w:r>
        <w:rPr/>
        <w:t xml:space="preserve">: Sometimes, I </w:t>
      </w:r>
      <w:r>
        <w:rPr>
          <w:rStyle w:val="Emphasis"/>
        </w:rPr>
        <w:t>need</w:t>
      </w:r>
      <w:r>
        <w:rPr/>
        <w:t xml:space="preserve"> to describe reality to communicate something—to explain an idea, record observations, or share information with others. In these cases, thinking about reality is a tool, nothing more.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Self-Control</w:t>
      </w:r>
      <w:r>
        <w:rPr/>
        <w:t xml:space="preserve">: The other reason is that I use these descriptions as a </w:t>
      </w:r>
      <w:r>
        <w:rPr>
          <w:rStyle w:val="Emphasis"/>
        </w:rPr>
        <w:t>guide for myself</w:t>
      </w:r>
      <w:r>
        <w:rPr/>
        <w:t xml:space="preserve">—a set of instructions on how to live, how to feel, or how to avoid certain states. I treat my own words like a manual, believing that if I follow them, I can control my emotions or experiences. For example, I once wrote that overanalyzing reality kills emotions, so I tried </w:t>
      </w:r>
      <w:r>
        <w:rPr>
          <w:rStyle w:val="Emphasis"/>
        </w:rPr>
        <w:t>not</w:t>
      </w:r>
      <w:r>
        <w:rPr/>
        <w:t xml:space="preserve"> to overanalyze in order to feel more. But the moment I used that idea as a rule ("I must not overanalyze to feel emotions"), I was </w:t>
      </w:r>
      <w:r>
        <w:rPr>
          <w:rStyle w:val="Emphasis"/>
        </w:rPr>
        <w:t>already</w:t>
      </w:r>
      <w:r>
        <w:rPr/>
        <w:t xml:space="preserve"> overanalyzing—and thus defeating the purpose.</w:t>
      </w:r>
    </w:p>
    <w:p>
      <w:pPr>
        <w:pStyle w:val="BodyText"/>
        <w:bidi w:val="0"/>
        <w:jc w:val="start"/>
        <w:rPr/>
      </w:pPr>
      <w:r>
        <w:rPr>
          <w:rStyle w:val="Strong"/>
        </w:rPr>
        <w:t>The Key Insight</w:t>
      </w:r>
      <w:r>
        <w:rPr/>
        <w:t xml:space="preserve">: If I catch myself thinking about reality as a guide, I should ask: </w:t>
      </w:r>
      <w:r>
        <w:rPr>
          <w:rStyle w:val="Emphasis"/>
        </w:rPr>
        <w:t>Am I doing this to achieve something?</w:t>
      </w:r>
      <w:r>
        <w:rPr/>
        <w:t xml:space="preserve"> If so, I need to recognize that this approach is flawed. The only valid reason to engage with these descriptions is practical—like using a hammer to build something. Once the task is done, I can set the hammer down.</w:t>
      </w:r>
    </w:p>
    <w:p>
      <w:pPr>
        <w:pStyle w:val="Style15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2. The Return of Emotions</w:t>
      </w:r>
    </w:p>
    <w:p>
      <w:pPr>
        <w:pStyle w:val="BodyText"/>
        <w:bidi w:val="0"/>
        <w:jc w:val="start"/>
        <w:rPr/>
      </w:pPr>
      <w:r>
        <w:rPr/>
        <w:t>When I stop overanalyzing, emotions return—both positive and negative. This was a revelation.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Positive Emotions</w:t>
      </w:r>
      <w:r>
        <w:rPr/>
        <w:t xml:space="preserve">: I’d already noticed joy and warmth creeping back in. But recently, I also felt </w:t>
      </w:r>
      <w:r>
        <w:rPr>
          <w:rStyle w:val="Emphasis"/>
        </w:rPr>
        <w:t>anger</w:t>
      </w:r>
      <w:r>
        <w:rPr/>
        <w:t>—something I hadn’t truly experienced in a long time. It arose unexpectedly, and I realized:</w:t>
      </w:r>
    </w:p>
    <w:p>
      <w:pPr>
        <w:pStyle w:val="BodyText"/>
        <w:numPr>
          <w:ilvl w:val="1"/>
          <w:numId w:val="2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I couldn’t suppress it with words or beliefs (my old "guides" would have smothered it instantly). </w:t>
      </w:r>
    </w:p>
    <w:p>
      <w:pPr>
        <w:pStyle w:val="BodyText"/>
        <w:numPr>
          <w:ilvl w:val="1"/>
          <w:numId w:val="2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I could only </w:t>
      </w:r>
      <w:r>
        <w:rPr>
          <w:rStyle w:val="Emphasis"/>
        </w:rPr>
        <w:t>physically</w:t>
      </w:r>
      <w:r>
        <w:rPr/>
        <w:t xml:space="preserve"> restrain it—hold it back if acting on it wasn’t useful. But the anger itself was just there, raw and unfiltered.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Negative Emotions as Observations</w:t>
      </w:r>
      <w:r>
        <w:rPr/>
        <w:t>: I tested this further. I imagined extreme loss—close ones dying, my home burning down—and felt grief rising. But here’s the difference:</w:t>
      </w:r>
    </w:p>
    <w:p>
      <w:pPr>
        <w:pStyle w:val="BodyText"/>
        <w:numPr>
          <w:ilvl w:val="1"/>
          <w:numId w:val="2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I didn’t </w:t>
      </w:r>
      <w:r>
        <w:rPr>
          <w:rStyle w:val="Emphasis"/>
        </w:rPr>
        <w:t>resist</w:t>
      </w:r>
      <w:r>
        <w:rPr/>
        <w:t xml:space="preserve"> the grief. I didn’t think, </w:t>
      </w:r>
      <w:r>
        <w:rPr>
          <w:rStyle w:val="Emphasis"/>
        </w:rPr>
        <w:t>"This is bad; I must stop feeling this."</w:t>
      </w:r>
      <w:r>
        <w:rPr/>
        <w:t xml:space="preserve"> </w:t>
      </w:r>
    </w:p>
    <w:p>
      <w:pPr>
        <w:pStyle w:val="BodyText"/>
        <w:numPr>
          <w:ilvl w:val="1"/>
          <w:numId w:val="2"/>
        </w:numPr>
        <w:tabs>
          <w:tab w:val="clear" w:pos="709"/>
          <w:tab w:val="left" w:pos="1418" w:leader="none"/>
        </w:tabs>
        <w:bidi w:val="0"/>
        <w:ind w:hanging="283" w:start="1418"/>
        <w:jc w:val="start"/>
        <w:rPr/>
      </w:pPr>
      <w:r>
        <w:rPr/>
        <w:t xml:space="preserve">Instead, I observed it like weather: </w:t>
      </w:r>
      <w:r>
        <w:rPr>
          <w:rStyle w:val="Emphasis"/>
        </w:rPr>
        <w:t>"Ah, this is sadness. It’s happening."</w:t>
      </w:r>
      <w:r>
        <w:rPr/>
        <w:t xml:space="preserve"> There was no secondary layer of suffering—no frustration </w:t>
      </w:r>
      <w:r>
        <w:rPr>
          <w:rStyle w:val="Emphasis"/>
        </w:rPr>
        <w:t>about</w:t>
      </w:r>
      <w:r>
        <w:rPr/>
        <w:t xml:space="preserve"> the frustration, no despair </w:t>
      </w:r>
      <w:r>
        <w:rPr>
          <w:rStyle w:val="Emphasis"/>
        </w:rPr>
        <w:t>about</w:t>
      </w:r>
      <w:r>
        <w:rPr/>
        <w:t xml:space="preserve"> the despair. </w:t>
      </w:r>
    </w:p>
    <w:p>
      <w:pPr>
        <w:pStyle w:val="BodyText"/>
        <w:bidi w:val="0"/>
        <w:jc w:val="start"/>
        <w:rPr/>
      </w:pPr>
      <w:r>
        <w:rPr>
          <w:rStyle w:val="Strong"/>
        </w:rPr>
        <w:t>The Metaphor</w:t>
      </w:r>
      <w:r>
        <w:rPr/>
        <w:t>: Emotions are like sun or rain. I don’t demand the sun stay forever, nor do I rage at the rain. I just notice them. Pleasure and pain, joy and anger—all are temporary states, none inherently "wrong."</w:t>
      </w:r>
    </w:p>
    <w:p>
      <w:pPr>
        <w:pStyle w:val="Style15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3. The Paradox of Guides</w:t>
      </w:r>
    </w:p>
    <w:p>
      <w:pPr>
        <w:pStyle w:val="BodyText"/>
        <w:bidi w:val="0"/>
        <w:jc w:val="start"/>
        <w:rPr/>
      </w:pPr>
      <w:r>
        <w:rPr/>
        <w:t>My old "guides" (philosophical frameworks, self-instructions) had a hidden cost: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They </w:t>
      </w:r>
      <w:r>
        <w:rPr>
          <w:rStyle w:val="Emphasis"/>
        </w:rPr>
        <w:t>promised</w:t>
      </w:r>
      <w:r>
        <w:rPr/>
        <w:t xml:space="preserve"> to eliminate negative emotions, but in reality, they </w:t>
      </w:r>
      <w:r>
        <w:rPr>
          <w:rStyle w:val="Strong"/>
        </w:rPr>
        <w:t>numbed all emotions</w:t>
      </w:r>
      <w:r>
        <w:rPr/>
        <w:t xml:space="preserve">. They replaced lived experience with a dull, constant satisfaction—the pleasure of </w:t>
      </w:r>
      <w:r>
        <w:rPr>
          <w:rStyle w:val="Emphasis"/>
        </w:rPr>
        <w:t>believing</w:t>
      </w:r>
      <w:r>
        <w:rPr/>
        <w:t xml:space="preserve"> in the guide itself.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Now, without those guides, emotions return in full spectrum. But here’s the twist: </w:t>
      </w:r>
    </w:p>
    <w:p>
      <w:pPr>
        <w:pStyle w:val="BodyText"/>
        <w:numPr>
          <w:ilvl w:val="1"/>
          <w:numId w:val="3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If I </w:t>
      </w:r>
      <w:r>
        <w:rPr>
          <w:rStyle w:val="Emphasis"/>
        </w:rPr>
        <w:t>remember</w:t>
      </w:r>
      <w:r>
        <w:rPr/>
        <w:t xml:space="preserve"> those old guides—the ones that said </w:t>
      </w:r>
      <w:r>
        <w:rPr>
          <w:rStyle w:val="Emphasis"/>
        </w:rPr>
        <w:t>"Everything is meaningless, you can’t prove anything"</w:t>
      </w:r>
      <w:r>
        <w:rPr/>
        <w:t xml:space="preserve">—my emotions vanish again. Both positive and negative. </w:t>
      </w:r>
    </w:p>
    <w:p>
      <w:pPr>
        <w:pStyle w:val="BodyText"/>
        <w:numPr>
          <w:ilvl w:val="1"/>
          <w:numId w:val="3"/>
        </w:numPr>
        <w:tabs>
          <w:tab w:val="clear" w:pos="709"/>
          <w:tab w:val="left" w:pos="1418" w:leader="none"/>
        </w:tabs>
        <w:bidi w:val="0"/>
        <w:ind w:hanging="283" w:start="1418"/>
        <w:jc w:val="start"/>
        <w:rPr/>
      </w:pPr>
      <w:r>
        <w:rPr/>
        <w:t xml:space="preserve">If I </w:t>
      </w:r>
      <w:r>
        <w:rPr>
          <w:rStyle w:val="Emphasis"/>
        </w:rPr>
        <w:t>forget</w:t>
      </w:r>
      <w:r>
        <w:rPr/>
        <w:t xml:space="preserve"> them, emotions flood back. </w:t>
      </w:r>
    </w:p>
    <w:p>
      <w:pPr>
        <w:pStyle w:val="BodyText"/>
        <w:bidi w:val="0"/>
        <w:jc w:val="start"/>
        <w:rPr/>
      </w:pPr>
      <w:r>
        <w:rPr>
          <w:rStyle w:val="Strong"/>
        </w:rPr>
        <w:t>The Choice</w:t>
      </w:r>
      <w:r>
        <w:rPr/>
        <w:t>: I can live in a world where I feel everything, or I can retreat into a guide that mutes everything. The first option is richer, even if it includes pain.</w:t>
      </w:r>
    </w:p>
    <w:p>
      <w:pPr>
        <w:pStyle w:val="Style15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4. A New Relationship with Life</w:t>
      </w:r>
    </w:p>
    <w:p>
      <w:pPr>
        <w:pStyle w:val="BodyText"/>
        <w:bidi w:val="0"/>
        <w:jc w:val="start"/>
        <w:rPr/>
      </w:pPr>
      <w:r>
        <w:rPr/>
        <w:t>How do I see my future now, knowing emotions—both pleasant and painful—will be part of it?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No Resistance</w:t>
      </w:r>
      <w:r>
        <w:rPr/>
        <w:t>: I won’t fight negative emotions. They’re like physical pain: useful signals, not enemies. I can endure them without adding mental suffering (</w:t>
      </w:r>
      <w:r>
        <w:rPr>
          <w:rStyle w:val="Emphasis"/>
        </w:rPr>
        <w:t>"Why does this hurt? This shouldn’t be happening!"</w:t>
      </w:r>
      <w:r>
        <w:rPr/>
        <w:t xml:space="preserve">). 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Active Shaping</w:t>
      </w:r>
      <w:r>
        <w:rPr/>
        <w:t xml:space="preserve">: I’ll still arrange my life to maximize joy and minimize unnecessary pain (as most people do). But the difference is psychological: </w:t>
      </w:r>
    </w:p>
    <w:p>
      <w:pPr>
        <w:pStyle w:val="BodyText"/>
        <w:numPr>
          <w:ilvl w:val="1"/>
          <w:numId w:val="4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Others might say, </w:t>
      </w:r>
      <w:r>
        <w:rPr>
          <w:rStyle w:val="Emphasis"/>
        </w:rPr>
        <w:t>"I’m happy when I feel good, miserable when I don’t."</w:t>
      </w:r>
      <w:r>
        <w:rPr/>
        <w:t xml:space="preserve"> </w:t>
      </w:r>
    </w:p>
    <w:p>
      <w:pPr>
        <w:pStyle w:val="BodyText"/>
        <w:numPr>
          <w:ilvl w:val="1"/>
          <w:numId w:val="4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I say, </w:t>
      </w:r>
      <w:r>
        <w:rPr>
          <w:rStyle w:val="Emphasis"/>
        </w:rPr>
        <w:t>"I feel good. I feel bad. Both are just feelings."</w:t>
      </w:r>
      <w:r>
        <w:rPr/>
        <w:t xml:space="preserve"> 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Acceptance Without Judgment</w:t>
      </w:r>
      <w:r>
        <w:rPr/>
        <w:t xml:space="preserve">: I don’t label emotions as "good" or "bad" in a moral sense. Anger isn’t evil; joy isn’t virtue. They’re just </w:t>
      </w:r>
      <w:r>
        <w:rPr>
          <w:rStyle w:val="Emphasis"/>
        </w:rPr>
        <w:t>experiences</w:t>
      </w:r>
      <w:r>
        <w:rPr/>
        <w:t xml:space="preserve">—like flavors or colors. </w:t>
      </w:r>
    </w:p>
    <w:p>
      <w:pPr>
        <w:pStyle w:val="BodyText"/>
        <w:bidi w:val="0"/>
        <w:jc w:val="start"/>
        <w:rPr/>
      </w:pPr>
      <w:r>
        <w:rPr>
          <w:rStyle w:val="Strong"/>
        </w:rPr>
        <w:t>The Result</w:t>
      </w:r>
      <w:r>
        <w:rPr/>
        <w:t xml:space="preserve">: A life that’s </w:t>
      </w:r>
      <w:r>
        <w:rPr>
          <w:rStyle w:val="Emphasis"/>
        </w:rPr>
        <w:t>vibrant</w:t>
      </w:r>
      <w:r>
        <w:rPr/>
        <w:t xml:space="preserve">, not sanitized. One where I don’t need to pretend sadness or anger are absent, but where I also don’t drown in them. A life that’s </w:t>
      </w:r>
      <w:r>
        <w:rPr>
          <w:rStyle w:val="Strong"/>
        </w:rPr>
        <w:t>honest</w:t>
      </w:r>
      <w:r>
        <w:rPr/>
        <w:t>.</w:t>
      </w:r>
    </w:p>
    <w:p>
      <w:pPr>
        <w:pStyle w:val="Style15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5. The Old Guides vs. The New Reality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Before</w:t>
      </w:r>
      <w:r>
        <w:rPr/>
        <w:t xml:space="preserve">: My best guides gave me a constant, low-grade pleasure—the comfort of belief—but at the cost of </w:t>
      </w:r>
      <w:r>
        <w:rPr>
          <w:rStyle w:val="Emphasis"/>
        </w:rPr>
        <w:t>all</w:t>
      </w:r>
      <w:r>
        <w:rPr/>
        <w:t xml:space="preserve"> emotional depth. It was like living in a softly lit room with no windows. 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Now</w:t>
      </w:r>
      <w:r>
        <w:rPr/>
        <w:t xml:space="preserve">: The windows are open. Storms come. Sun pours in. I don’t control the weather, but I’m no longer afraid of it. </w:t>
      </w:r>
    </w:p>
    <w:p>
      <w:pPr>
        <w:pStyle w:val="BodyText"/>
        <w:bidi w:val="0"/>
        <w:jc w:val="start"/>
        <w:rPr/>
      </w:pPr>
      <w:r>
        <w:rPr>
          <w:rStyle w:val="Strong"/>
        </w:rPr>
        <w:t>The Surprising Peace</w:t>
      </w:r>
      <w:r>
        <w:rPr/>
        <w:t xml:space="preserve">: I’m not </w:t>
      </w:r>
      <w:r>
        <w:rPr>
          <w:rStyle w:val="Emphasis"/>
        </w:rPr>
        <w:t>excited</w:t>
      </w:r>
      <w:r>
        <w:rPr/>
        <w:t xml:space="preserve"> about this new way of living, but I’m not </w:t>
      </w:r>
      <w:r>
        <w:rPr>
          <w:rStyle w:val="Emphasis"/>
        </w:rPr>
        <w:t>unhappy</w:t>
      </w:r>
      <w:r>
        <w:rPr/>
        <w:t xml:space="preserve"> either. It simply </w:t>
      </w:r>
      <w:r>
        <w:rPr>
          <w:rStyle w:val="Emphasis"/>
        </w:rPr>
        <w:t>is</w:t>
      </w:r>
      <w:r>
        <w:rPr/>
        <w:t>. And that’s enough.</w:t>
      </w:r>
    </w:p>
    <w:p>
      <w:pPr>
        <w:pStyle w:val="Style15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Final Thought</w:t>
      </w:r>
    </w:p>
    <w:p>
      <w:pPr>
        <w:pStyle w:val="BodyText"/>
        <w:bidi w:val="0"/>
        <w:jc w:val="start"/>
        <w:rPr/>
      </w:pPr>
      <w:r>
        <w:rPr/>
        <w:t xml:space="preserve">I used to seek a life without negative emotions. Now, I see that a life </w:t>
      </w:r>
      <w:r>
        <w:rPr>
          <w:rStyle w:val="Emphasis"/>
        </w:rPr>
        <w:t>with</w:t>
      </w:r>
      <w:r>
        <w:rPr/>
        <w:t xml:space="preserve"> them—fully felt, fully observed—is far more alive. The goal isn’t to escape pain, but to meet it without fear, and to savor joy without clinging. </w:t>
      </w:r>
      <w:r>
        <w:rPr>
          <w:rStyle w:val="Strong"/>
        </w:rPr>
        <w:t>That’s freedom.</w:t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sectPr>
      <w:type w:val="nextPage"/>
      <w:pgSz w:w="11906" w:h="16838"/>
      <w:pgMar w:left="720" w:right="720" w:gutter="0" w:header="0" w:top="720" w:footer="0" w:bottom="72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windows-1252"/>
    <w:family w:val="roman"/>
    <w:pitch w:val="variable"/>
  </w:font>
  <w:font w:name="OpenSymbol">
    <w:altName w:val="Arial Unicode MS"/>
    <w:charset w:val="02"/>
    <w:family w:val="auto"/>
    <w:pitch w:val="default"/>
  </w:font>
  <w:font w:name="Liberation Sans">
    <w:altName w:val="Arial"/>
    <w:charset w:val="00" w:characterSet="windows-1252"/>
    <w:family w:val="swiss"/>
    <w:pitch w:val="variable"/>
  </w:font>
  <w:font w:name="Calibri">
    <w:charset w:val="00" w:characterSet="windows-1252"/>
    <w:family w:val="swiss"/>
    <w:pitch w:val="variable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2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3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4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5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6">
    <w:lvl w:ilvl="0">
      <w:start w:val="1"/>
      <w:numFmt w:val="none"/>
      <w:suff w:val="nothing"/>
      <w:lvlText w:val="%1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%2"/>
      <w:lvlJc w:val="start"/>
      <w:pPr>
        <w:tabs>
          <w:tab w:val="num" w:pos="0"/>
        </w:tabs>
        <w:ind w:start="0" w:hanging="0"/>
      </w:pPr>
    </w:lvl>
    <w:lvl w:ilvl="2">
      <w:start w:val="1"/>
      <w:pStyle w:val="Heading3"/>
      <w:numFmt w:val="none"/>
      <w:suff w:val="nothing"/>
      <w:lvlText w:val="%3"/>
      <w:lvlJc w:val="start"/>
      <w:pPr>
        <w:tabs>
          <w:tab w:val="num" w:pos="0"/>
        </w:tabs>
        <w:ind w:start="0" w:hanging="0"/>
      </w:pPr>
    </w:lvl>
    <w:lvl w:ilvl="3">
      <w:start w:val="1"/>
      <w:pStyle w:val="Heading4"/>
      <w:numFmt w:val="none"/>
      <w:suff w:val="nothing"/>
      <w:lvlText w:val="%4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%5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%6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%7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%8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%9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w="http://schemas.openxmlformats.org/wordprocessingml/2006/main">
  <w:zoom w:percent="181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Arial"/>
      <w:color w:val="auto"/>
      <w:kern w:val="2"/>
      <w:sz w:val="24"/>
      <w:szCs w:val="24"/>
      <w:lang w:val="ru-RU" w:eastAsia="zh-CN" w:bidi="hi-IN"/>
    </w:rPr>
  </w:style>
  <w:style w:type="paragraph" w:styleId="Heading3">
    <w:name w:val="Heading 3"/>
    <w:basedOn w:val="Style13"/>
    <w:next w:val="BodyText"/>
    <w:qFormat/>
    <w:pPr>
      <w:spacing w:before="140" w:after="120"/>
      <w:outlineLvl w:val="2"/>
    </w:pPr>
    <w:rPr>
      <w:rFonts w:ascii="Liberation Serif" w:hAnsi="Liberation Serif" w:eastAsia="NSimSun" w:cs="Arial"/>
      <w:b/>
      <w:bCs/>
      <w:sz w:val="28"/>
      <w:szCs w:val="28"/>
    </w:rPr>
  </w:style>
  <w:style w:type="paragraph" w:styleId="Heading4">
    <w:name w:val="Heading 4"/>
    <w:basedOn w:val="Style13"/>
    <w:next w:val="BodyText"/>
    <w:qFormat/>
    <w:pPr>
      <w:spacing w:before="120" w:after="120"/>
      <w:outlineLvl w:val="3"/>
    </w:pPr>
    <w:rPr>
      <w:rFonts w:ascii="Liberation Serif" w:hAnsi="Liberation Serif" w:eastAsia="NSimSun" w:cs="Arial"/>
      <w:b/>
      <w:bCs/>
      <w:sz w:val="24"/>
      <w:szCs w:val="24"/>
    </w:rPr>
  </w:style>
  <w:style w:type="character" w:styleId="LineNumber">
    <w:name w:val="Line Number"/>
    <w:rPr/>
  </w:style>
  <w:style w:type="character" w:styleId="Strong">
    <w:name w:val="Strong"/>
    <w:qFormat/>
    <w:rPr>
      <w:b/>
      <w:bCs/>
    </w:rPr>
  </w:style>
  <w:style w:type="character" w:styleId="Style12">
    <w:name w:val="Маркеры"/>
    <w:qFormat/>
    <w:rPr>
      <w:rFonts w:ascii="OpenSymbol" w:hAnsi="OpenSymbol" w:eastAsia="OpenSymbol" w:cs="OpenSymbol"/>
    </w:rPr>
  </w:style>
  <w:style w:type="character" w:styleId="Emphasis">
    <w:name w:val="Emphasis"/>
    <w:qFormat/>
    <w:rPr>
      <w:i/>
      <w:iCs/>
    </w:rPr>
  </w:style>
  <w:style w:type="paragraph" w:styleId="Style13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4">
    <w:name w:val="Указатель"/>
    <w:basedOn w:val="Normal"/>
    <w:qFormat/>
    <w:pPr>
      <w:suppressLineNumbers/>
    </w:pPr>
    <w:rPr>
      <w:rFonts w:cs="Arial"/>
    </w:rPr>
  </w:style>
  <w:style w:type="paragraph" w:styleId="Style15">
    <w:name w:val="Горизонтальная линия"/>
    <w:basedOn w:val="Normal"/>
    <w:next w:val="BodyText"/>
    <w:qFormat/>
    <w:pPr>
      <w:suppressLineNumbers/>
      <w:pBdr>
        <w:bottom w:val="double" w:sz="2" w:space="0" w:color="808080"/>
      </w:pBdr>
      <w:spacing w:before="0" w:after="283"/>
    </w:pPr>
    <w:rPr>
      <w:sz w:val="12"/>
      <w:szCs w:val="12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Calibri</Template>
  <TotalTime>0</TotalTime>
  <Application>LibreOffice/24.2.1.2$Windows_X86_64 LibreOffice_project/db4def46b0453cc22e2d0305797cf981b68ef5ac</Application>
  <AppVersion>15.0000</AppVersion>
  <Pages>2</Pages>
  <Words>874</Words>
  <Characters>4147</Characters>
  <CharactersWithSpaces>4959</CharactersWithSpaces>
  <Paragraphs>36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2026-03-22T17:46:10Z</dcterms:created>
  <dc:creator/>
  <dc:description/>
  <dc:language>ru-RU</dc:language>
  <cp:lastModifiedBy/>
  <dcterms:modified xsi:type="dcterms:W3CDTF">2026-03-22T17:46:11Z</dcterms:modified>
  <cp:revision>2</cp:revision>
  <dc:subject/>
  <dc:title>Calibri</dc:title>
</cp:coreProperties>
</file>